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F4E" w:rsidRDefault="00366F4E" w:rsidP="00366F4E">
      <w:pPr>
        <w:spacing w:after="150" w:line="240" w:lineRule="auto"/>
        <w:jc w:val="center"/>
        <w:rPr>
          <w:rFonts w:ascii="Arial" w:eastAsia="Times New Roman" w:hAnsi="Arial" w:cs="Arial"/>
          <w:b/>
          <w:bCs/>
          <w:color w:val="054781"/>
          <w:sz w:val="40"/>
          <w:szCs w:val="40"/>
        </w:rPr>
      </w:pPr>
      <w:bookmarkStart w:id="0" w:name="_GoBack"/>
      <w:bookmarkEnd w:id="0"/>
      <w:r w:rsidRPr="00366F4E">
        <w:rPr>
          <w:rFonts w:ascii="Arial" w:eastAsia="Times New Roman" w:hAnsi="Arial" w:cs="Arial"/>
          <w:b/>
          <w:bCs/>
          <w:color w:val="054781"/>
          <w:sz w:val="40"/>
          <w:szCs w:val="40"/>
        </w:rPr>
        <w:t>Quy định về giám hộ</w:t>
      </w:r>
    </w:p>
    <w:p w:rsidR="00366F4E" w:rsidRPr="00366F4E" w:rsidRDefault="00366F4E" w:rsidP="00366F4E">
      <w:pPr>
        <w:spacing w:after="150" w:line="240" w:lineRule="auto"/>
        <w:jc w:val="center"/>
        <w:rPr>
          <w:rFonts w:ascii="Arial" w:eastAsia="Times New Roman" w:hAnsi="Arial" w:cs="Arial"/>
          <w:b/>
          <w:bCs/>
          <w:color w:val="054781"/>
          <w:sz w:val="40"/>
          <w:szCs w:val="40"/>
        </w:rPr>
      </w:pPr>
      <w:r w:rsidRPr="00366F4E">
        <w:rPr>
          <w:rFonts w:ascii="Arial" w:eastAsia="Times New Roman" w:hAnsi="Arial" w:cs="Arial"/>
          <w:b/>
          <w:bCs/>
          <w:color w:val="054781"/>
          <w:sz w:val="40"/>
          <w:szCs w:val="40"/>
        </w:rPr>
        <w:t>trong Bộ Luật dân sự năm 2015</w:t>
      </w:r>
    </w:p>
    <w:p w:rsidR="00366F4E" w:rsidRPr="00366F4E" w:rsidRDefault="00366F4E" w:rsidP="00366F4E">
      <w:pPr>
        <w:spacing w:after="150" w:line="240" w:lineRule="auto"/>
        <w:jc w:val="center"/>
        <w:rPr>
          <w:rFonts w:ascii="Arial" w:eastAsia="Times New Roman" w:hAnsi="Arial" w:cs="Arial"/>
          <w:color w:val="333333"/>
          <w:sz w:val="20"/>
          <w:szCs w:val="20"/>
        </w:rPr>
      </w:pPr>
      <w:r w:rsidRPr="00366F4E">
        <w:rPr>
          <w:rFonts w:ascii="Arial" w:eastAsia="Times New Roman" w:hAnsi="Arial" w:cs="Arial"/>
          <w:color w:val="333333"/>
          <w:sz w:val="20"/>
          <w:szCs w:val="20"/>
        </w:rPr>
        <w:t>​</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b/>
          <w:bCs/>
          <w:color w:val="333333"/>
          <w:sz w:val="20"/>
          <w:szCs w:val="20"/>
        </w:rPr>
        <w:t>1.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Theo Điều 46 của Bộ luật dân sự năm 2015 thì</w:t>
      </w:r>
      <w:r w:rsidRPr="00366F4E">
        <w:rPr>
          <w:rFonts w:ascii="Arial" w:eastAsia="Times New Roman" w:hAnsi="Arial" w:cs="Arial"/>
          <w:b/>
          <w:bCs/>
          <w:color w:val="333333"/>
          <w:sz w:val="20"/>
          <w:szCs w:val="20"/>
        </w:rPr>
        <w:t> </w:t>
      </w:r>
      <w:r w:rsidRPr="00366F4E">
        <w:rPr>
          <w:rFonts w:ascii="Arial" w:eastAsia="Times New Roman" w:hAnsi="Arial" w:cs="Arial"/>
          <w:color w:val="333333"/>
          <w:sz w:val="20"/>
          <w:szCs w:val="20"/>
        </w:rPr>
        <w:t>giám hộ là việc cá nhân, pháp nhân được luật quy định, được Ủy ban nhân dân cấp xã cử, được Tòa án chỉ định hoặc được quy định tại khoản 2 Điều 48 của Bộ luật này (sau đây gọi chung là người giám hộ) để thực hiện việc chăm sóc, bảo vệ quyền, lợi ích hợp pháp của người chưa thành niên, người mất năng lực hành vi dân sự, người có khó khăn trong nhận thức, làm chủ hành vi (sau đây gọi chung là người được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Trường hợp giám hộ cho người có khó khăn trong nhận thức, làm chủ hành vi thì phải được sự đồng ý của người đó nếu họ có năng lực thể hiện ý chí của mình tại thời điểm yêu cầu.</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Việc giám hộ phải được đăng ký tại cơ quan nhà nước có thẩm quyền theo quy định của pháp luật về hộ tịch.</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Người giám hộ đương nhiên mà không đăng ký việc giám hộ thì vẫn phải thực hiện nghĩa vụ của người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b/>
          <w:bCs/>
          <w:color w:val="333333"/>
          <w:sz w:val="20"/>
          <w:szCs w:val="20"/>
        </w:rPr>
        <w:t>2. Người được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Theo Điều 47 của Bộ luật dân sự năm 2015 thì</w:t>
      </w:r>
      <w:r w:rsidRPr="00366F4E">
        <w:rPr>
          <w:rFonts w:ascii="Arial" w:eastAsia="Times New Roman" w:hAnsi="Arial" w:cs="Arial"/>
          <w:b/>
          <w:bCs/>
          <w:color w:val="333333"/>
          <w:sz w:val="20"/>
          <w:szCs w:val="20"/>
        </w:rPr>
        <w:t> </w:t>
      </w:r>
      <w:r w:rsidRPr="00366F4E">
        <w:rPr>
          <w:rFonts w:ascii="Arial" w:eastAsia="Times New Roman" w:hAnsi="Arial" w:cs="Arial"/>
          <w:color w:val="333333"/>
          <w:sz w:val="20"/>
          <w:szCs w:val="20"/>
        </w:rPr>
        <w:t>người được giám hộ bao gồm: Người chưa thành niên không còn cha, mẹ hoặc không xác định được cha, mẹ; người chưa thành niên có cha, mẹ nhưng cha, mẹ đều mất năng lực hành vi dân sự; cha, mẹ đều có khó khăn trong nhận thức, làm chủ hành vi; cha, mẹ đều bị hạn chế năng lực hành vi dân sự; cha, mẹ đều bị Tòa án tuyên bố hạn chế quyền đối với con; cha, mẹ đều không có điều kiện chăm sóc, giáo dục con và có yêu cầu người giám hộ; người mất năng lực hành vi dân sự; người có khó khăn trong nhận thức, làm chủ hành vi.</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Một người chỉ có thể được một người giám hộ, trừ trường hợp cha, mẹ cùng giám hộ cho con hoặc ông, bà cùng giám hộ cho cháu.</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b/>
          <w:bCs/>
          <w:color w:val="333333"/>
          <w:sz w:val="20"/>
          <w:szCs w:val="20"/>
        </w:rPr>
        <w:t>3. Người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Theo Điều 48 của Bộ luật dân sự năm 2015 thì</w:t>
      </w:r>
      <w:r w:rsidRPr="00366F4E">
        <w:rPr>
          <w:rFonts w:ascii="Arial" w:eastAsia="Times New Roman" w:hAnsi="Arial" w:cs="Arial"/>
          <w:b/>
          <w:bCs/>
          <w:color w:val="333333"/>
          <w:sz w:val="20"/>
          <w:szCs w:val="20"/>
        </w:rPr>
        <w:t> </w:t>
      </w:r>
      <w:r w:rsidRPr="00366F4E">
        <w:rPr>
          <w:rFonts w:ascii="Arial" w:eastAsia="Times New Roman" w:hAnsi="Arial" w:cs="Arial"/>
          <w:color w:val="333333"/>
          <w:sz w:val="20"/>
          <w:szCs w:val="20"/>
        </w:rPr>
        <w:t>người giám hộ là cá nhân, pháp nhân có đủ điều kiện quy định tại Bộ luật này được làm người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Trường hợp người có năng lực hành vi dân sự đầy đủ lựa chọn người giám hộ cho mình thì khi họ ở tình trạng cần được giám hộ, cá nhân, pháp nhân được lựa chọn là người giám hộ nếu người này đồng ý. Việc lựa chọn người giám hộ phải được lập thành văn bản có công chứng hoặc chứng thực.</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Một cá nhân, pháp nhân có thể giám hộ cho nhiều người.</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b/>
          <w:bCs/>
          <w:color w:val="333333"/>
          <w:sz w:val="20"/>
          <w:szCs w:val="20"/>
        </w:rPr>
        <w:t>4. Điều kiện của cá nhân làm người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Theo Điều 49 của Bộ luật dân sự năm 2015 thì cá nhân có đủ các điều kiện sau đây có thể làm người giám hộ: Có năng lực hành vi dân sự đầy đủ; có tư cách đạo đức tốt và các điều kiện cần thiết để thực hiện quyền, nghĩa vụ của người giám hộ; không phải là người đang bị truy cứu trách nhiệm hình sự hoặc người bị kết án nhưng chưa được xoá án tích về một trong các tội cố ý xâm phạm tính mạng, sức khỏe, danh dự, nhân phẩm, tài sản của người khác và không phải là người bị Tòa án tuyên bố hạn chế quyền đối với con chưa thành niên.</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b/>
          <w:bCs/>
          <w:color w:val="333333"/>
          <w:sz w:val="20"/>
          <w:szCs w:val="20"/>
        </w:rPr>
        <w:t>5. Điều kiện của pháp nhân làm người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Theo Điều 50 của Bộ luật dân sự năm 2015 thì</w:t>
      </w:r>
      <w:r w:rsidRPr="00366F4E">
        <w:rPr>
          <w:rFonts w:ascii="Arial" w:eastAsia="Times New Roman" w:hAnsi="Arial" w:cs="Arial"/>
          <w:b/>
          <w:bCs/>
          <w:color w:val="333333"/>
          <w:sz w:val="20"/>
          <w:szCs w:val="20"/>
        </w:rPr>
        <w:t> </w:t>
      </w:r>
      <w:r w:rsidRPr="00366F4E">
        <w:rPr>
          <w:rFonts w:ascii="Arial" w:eastAsia="Times New Roman" w:hAnsi="Arial" w:cs="Arial"/>
          <w:color w:val="333333"/>
          <w:sz w:val="20"/>
          <w:szCs w:val="20"/>
        </w:rPr>
        <w:t>pháp nhân có đủ các điều kiện sau đây có thể làm người giám hộ: Có năng lực pháp luật dân sự phù hợp với việc giám hộ và có điều kiện cần thiết để thực hiện quyền, nghĩa vụ của người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b/>
          <w:bCs/>
          <w:color w:val="333333"/>
          <w:sz w:val="20"/>
          <w:szCs w:val="20"/>
        </w:rPr>
        <w:t>6. Giám sát việc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Theo Điều 51 của Bộ luật dân sự năm 2015 quy định giám sát việc giám hộ như sau:</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lastRenderedPageBreak/>
        <w:t>- Người thân thích của người được giám hộ thỏa thuận cử người giám sát việc giám hộ trong số những người thân thích hoặc chọn cá nhân, pháp nhân khác làm người giám sát việc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Việc cử, chọn người giám sát việc giám hộ phải được sự đồng ý của người đó. Trường hợp giám sát việc giám hộ liên quan đến quản lý tài sản của người được giám hộ thì người giám sát phải đăng ký tại Ủy ban nhân dân cấp xã nơi cư trú của người được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Người thân thích của người được giám hộ là vợ, chồng, cha, mẹ, con của người được giám hộ; nếu không có ai trong số những người này thì người thân thích của người được giám hộ là ông, bà, anh ruột, chị ruột, em ruột của người được giám hộ; nếu cũng không có ai trong số những người này thì người thân thích của người được giám hộ là bác ruột, chú ruột, cậu ruột, cô ruột, dì ruột của người được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 Trường hợp không có người thân thích của người được giám hộ hoặc những người thân thích không cử, chọn được người giám sát việc giám hộ theo quy định tại khoản 1 Điều này thì Ủy ban nhân dân cấp xã nơi cư trú của người giám hộ cử cá nhân hoặc pháp nhân giám sát việc giám hộ. Trường hợp có tranh chấp về việc cử, chọn người giám sát việc giám hộ thì Tòa án quyết định.</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 Người giám sát việc giám hộ phải là người có năng lực hành vi dân sự đầy đủ nếu là cá nhân, có năng lực pháp luật dân sự phù hợp với việc giám sát nếu là pháp nhân; có điều kiện cần thiết để thực hiện việc giám sát.</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 Người giám sát việc giám hộ có quyền và nghĩa vụ sau đây: Theo dõi, kiểm tra người giám hộ trong việc thực hiện giám hộ; xem xét, có ý kiến kịp thời bằng văn bản về việc xác lập, thực hiện giao dịch dân sự quy định tại Điều 59 của Bộ luật này và yêu cầu cơ quan nhà nước có thẩm quyền về giám hộ xem xét thay đổi hoặc chấm dứt việc giám hộ, giám sát việc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b/>
          <w:bCs/>
          <w:color w:val="333333"/>
          <w:sz w:val="20"/>
          <w:szCs w:val="20"/>
        </w:rPr>
        <w:t>7. Người giám hộ đương nhiên của người chưa thành niên</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Theo Điều 52 của Bộ luật dân sự năm 2015 thì người giám hộ đương nhiên của người chưa thành niên quy định tại điểm a và điểm b khoản 1 Điều 47 của Bộ luật này được xác định theo thứ tự sau đây:</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 Anh ruột là anh cả hoặc chị ruột là chị cả là người giám hộ; nếu anh cả hoặc chị cả không có đủ điều kiện làm người giám hộ thì anh ruột hoặc chị ruột tiếp theo là người giám hộ, trừ trường hợp có thỏa thuận anh ruột hoặc chị ruột khác làm người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 Trường hợp không có người giám hộ quy định tại khoản 1 Điều này thì ông nội, bà nội, ông ngoại, bà ngoại là người giám hộ hoặc những người này thỏa thuận cử một hoặc một số người trong số họ làm người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 Trường hợp không có người giám hộ quy định tại khoản 1 và khoản 2 Điều này thì bác ruột, chú ruột, cậu ruột, cô ruột hoặc dì ruột là người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b/>
          <w:bCs/>
          <w:color w:val="333333"/>
          <w:sz w:val="20"/>
          <w:szCs w:val="20"/>
        </w:rPr>
        <w:t>8. Người giám hộ đương nhiên của người mất năng lực hành vi dân sự</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Theo Điều 53 của Bộ luật dân sự năm 2015 thì tường hợp không có người giám hộ theo quy định tại khoản 2 Điều 48 của Bộ luật này thì người giám hộ đương nhiên của người mất năng lực hành vi dân sự được xác định như sau:</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 Trường hợp vợ là người mất năng lực hành vi dân sự thì chồng là người giám hộ; nếu chồng là người mất năng lực hành vi dân sự thì vợ là người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 Trường hợp cha và mẹ đều mất năng lực hành vi dân sự hoặc một người mất năng lực hành vi dân sự, còn người kia không có đủ điều kiện làm người giám hộ thì người con cả là người giám hộ; nếu người con cả không có đủ điều kiện làm người giám hộ thì người con tiếp theo có đủ điều kiện làm người giám hộ là người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 Trường hợp người thành niên mất năng lực hành vi dân sự chưa có vợ, chồng, con hoặc có mà vợ, chồng, con đều không có đủ điều kiện làm người giám hộ thì cha, mẹ là người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b/>
          <w:bCs/>
          <w:color w:val="333333"/>
          <w:sz w:val="20"/>
          <w:szCs w:val="20"/>
        </w:rPr>
        <w:t>9. Quyền của người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 xml:space="preserve">Theo Điều 58 của Bộ luật dân sự năm 2015 thì người giám hộ của người chưa thành niên, người mất năng lực hành vi dân sự có các quyền sau đây: Sử dụng tài sản của người được giám hộ để chăm sóc, chi dùng cho những nhu cầu thiết yếu của người được giám hộ; được thanh toán các chi phí </w:t>
      </w:r>
      <w:r w:rsidRPr="00366F4E">
        <w:rPr>
          <w:rFonts w:ascii="Arial" w:eastAsia="Times New Roman" w:hAnsi="Arial" w:cs="Arial"/>
          <w:color w:val="333333"/>
          <w:sz w:val="20"/>
          <w:szCs w:val="20"/>
        </w:rPr>
        <w:lastRenderedPageBreak/>
        <w:t>hợp lý cho việc quản lý tài sản của người được giám hộ; đại diện cho người được giám hộ trong việc xác lập, thực hiện giao dịch dân sự và thực hiện các quyền khác theo quy định của pháp luật nhằm bảo vệ quyền, lợi ích hợp pháp của người được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Người giám hộ của người có khó khăn trong nhận thức, làm chủ hành vi có quyền theo quyết định của Tòa án trong số các quyền quy định nêu trên.</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b/>
          <w:bCs/>
          <w:color w:val="333333"/>
          <w:sz w:val="20"/>
          <w:szCs w:val="20"/>
        </w:rPr>
        <w:t>10. Thay đổi người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Theo Điều 60 của Bộ luật dân sự năm 2015 thì người giám hộ được thay đổi trong trường hợp sau đây: Người giám hộ không còn đủ các điều kiện quy định tại Điều 49, Điều 50 của Bộ luật này; người giám hộ là cá nhân chết hoặc bị Tòa án tuyên bố hạn chế năng lực hành vi dân sự, có khó khăn trong nhận thức, làm chủ hành vi, mất năng lực hành vi dân sự, mất tích; pháp nhân làm giám hộ chấm dứt tồn tại; người giám hộ vi phạm nghiêm trọng nghĩa vụ giám hộ và người giám hộ đề nghị được thay đổi và có người khác nhận làm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Trường hợp thay đổi người giám hộ đương nhiên thì những người được quy định tại Điều 52 và Điều 53 của Bộ luật này là người giám hộ đương nhiên; nếu không có người giám hộ đương nhiên thì việc cử, chỉ định người giám hộ được thực hiện theo quy định tại Điều 54 của Bộ luật này.</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Thủ tục thay đổi người giám hộ được thực hiện theo quy định của pháp luật về hộ tịch.</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b/>
          <w:bCs/>
          <w:color w:val="333333"/>
          <w:sz w:val="20"/>
          <w:szCs w:val="20"/>
        </w:rPr>
        <w:t>11. Chấm dứt việc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Theo Điều 62 của Bộ luật dân sự năm 2015 thì việc giám hộ chấm dứt trong trường hợp sau đây: Người được giám hộ đã có năng lực hành vi dân sự đầy đủ; người được giám hộ chết; cha, mẹ của người được giám hộ là người chưa thành niên đã có đủ điều kiện để thực hiện quyền, nghĩa vụ của mình và người được giám hộ được nhận làm con nuôi.</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Thủ tục chấm dứt việc giám hộ thực hiện theo quy định của pháp luật về hộ tịch.</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b/>
          <w:bCs/>
          <w:color w:val="333333"/>
          <w:sz w:val="20"/>
          <w:szCs w:val="20"/>
        </w:rPr>
        <w:t>12. Hậu quả chấm dứt việc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Theo Điều 63 của Bộ luật dân sự năm 2015 quy định hậu quả chấm dứt việc giám hộ như sau:</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 Trường hợp người được giám hộ đã có năng lực hành vi dân sự đầy đủ thì trong thời hạn 15 ngày, kể từ ngày chấm dứt việc giám hộ, người giám hộ thanh toán tài sản với người được giám hộ, chuyển giao quyền, nghĩa vụ phát sinh từ giao dịch dân sự vì lợi ích của người được giám hộ cho người được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 Trường hợp người được giám hộ chết thì trong thời hạn 03 tháng, kể từ ngày chấm dứt việc giám hộ, người giám hộ thanh toán tài sản với người thừa kế hoặc giao tài sản cho người quản lý di sản của người được giám hộ, chuyển giao quyền, nghĩa vụ phát sinh từ giao dịch dân sự vì lợi ích của người được giám hộ cho người thừa kế của người được giám hộ; nếu hết thời hạn đó mà chưa xác định được người thừa kế thì người giám hộ tiếp tục quản lý tài sản của người được giám hộ cho đến khi tài sản được giải quyết theo quy định của pháp luật về thừa kế và thông báo cho Ủy ban nhân dân cấp xã nơi cư trú của người được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 Trường hợp chấm dứt việc giám hộ quy định tại điểm c và điểm d khoản 1 Điều 62 của Bộ luật này thì trong thời hạn 15 ngày, kể từ ngày chấm dứt việc giám hộ, người giám hộ thanh toán tài sản và chuyển giao quyền, nghĩa vụ phát sinh từ giao dịch dân sự vì lợi ích của người được giám hộ cho cha, mẹ của người được giám hộ.</w:t>
      </w:r>
    </w:p>
    <w:p w:rsidR="00366F4E" w:rsidRPr="00366F4E" w:rsidRDefault="00366F4E" w:rsidP="00366F4E">
      <w:pPr>
        <w:spacing w:after="150" w:line="240" w:lineRule="auto"/>
        <w:jc w:val="both"/>
        <w:rPr>
          <w:rFonts w:ascii="Arial" w:eastAsia="Times New Roman" w:hAnsi="Arial" w:cs="Arial"/>
          <w:color w:val="333333"/>
          <w:sz w:val="20"/>
          <w:szCs w:val="20"/>
        </w:rPr>
      </w:pPr>
      <w:r w:rsidRPr="00366F4E">
        <w:rPr>
          <w:rFonts w:ascii="Arial" w:eastAsia="Times New Roman" w:hAnsi="Arial" w:cs="Arial"/>
          <w:color w:val="333333"/>
          <w:sz w:val="20"/>
          <w:szCs w:val="20"/>
        </w:rPr>
        <w:t>- Việc thanh toán tài sản và chuyển giao quyền, nghĩa vụ quy định tại Điều này được lập thành văn bản với sự giám sát của người giám sát việc giám hộ.</w:t>
      </w:r>
    </w:p>
    <w:p w:rsidR="00366F4E" w:rsidRPr="00366F4E" w:rsidRDefault="00366F4E" w:rsidP="00366F4E">
      <w:pPr>
        <w:spacing w:after="150" w:line="240" w:lineRule="auto"/>
        <w:rPr>
          <w:rFonts w:ascii="Arial" w:eastAsia="Times New Roman" w:hAnsi="Arial" w:cs="Arial"/>
          <w:color w:val="333333"/>
          <w:sz w:val="20"/>
          <w:szCs w:val="20"/>
        </w:rPr>
      </w:pPr>
      <w:r w:rsidRPr="00366F4E">
        <w:rPr>
          <w:rFonts w:ascii="Arial" w:eastAsia="Times New Roman" w:hAnsi="Arial" w:cs="Arial"/>
          <w:color w:val="333333"/>
          <w:sz w:val="20"/>
          <w:szCs w:val="20"/>
        </w:rPr>
        <w:t> </w:t>
      </w:r>
    </w:p>
    <w:p w:rsidR="00FD3045" w:rsidRDefault="00FD3045"/>
    <w:sectPr w:rsidR="00FD3045" w:rsidSect="00855EE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4E"/>
    <w:rsid w:val="00366F4E"/>
    <w:rsid w:val="003C2377"/>
    <w:rsid w:val="003E7759"/>
    <w:rsid w:val="004125F7"/>
    <w:rsid w:val="004775CF"/>
    <w:rsid w:val="00493D4F"/>
    <w:rsid w:val="00497527"/>
    <w:rsid w:val="00855EEF"/>
    <w:rsid w:val="008C1547"/>
    <w:rsid w:val="008C6F93"/>
    <w:rsid w:val="00A610B9"/>
    <w:rsid w:val="00A817C8"/>
    <w:rsid w:val="00B04B4B"/>
    <w:rsid w:val="00C10035"/>
    <w:rsid w:val="00C21AB1"/>
    <w:rsid w:val="00CF1938"/>
    <w:rsid w:val="00CF6D6A"/>
    <w:rsid w:val="00D254C5"/>
    <w:rsid w:val="00D94B84"/>
    <w:rsid w:val="00DE0EDF"/>
    <w:rsid w:val="00DE2FA0"/>
    <w:rsid w:val="00E6259A"/>
    <w:rsid w:val="00F20BF4"/>
    <w:rsid w:val="00FD3045"/>
    <w:rsid w:val="00FE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ms-font-size">
    <w:name w:val="cms-font-size"/>
    <w:basedOn w:val="DefaultParagraphFont"/>
    <w:rsid w:val="00366F4E"/>
  </w:style>
  <w:style w:type="paragraph" w:styleId="NormalWeb">
    <w:name w:val="Normal (Web)"/>
    <w:basedOn w:val="Normal"/>
    <w:uiPriority w:val="99"/>
    <w:semiHidden/>
    <w:unhideWhenUsed/>
    <w:rsid w:val="00366F4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66F4E"/>
    <w:rPr>
      <w:b/>
      <w:bCs/>
    </w:rPr>
  </w:style>
  <w:style w:type="paragraph" w:styleId="BalloonText">
    <w:name w:val="Balloon Text"/>
    <w:basedOn w:val="Normal"/>
    <w:link w:val="BalloonTextChar"/>
    <w:uiPriority w:val="99"/>
    <w:semiHidden/>
    <w:unhideWhenUsed/>
    <w:rsid w:val="00366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F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ms-font-size">
    <w:name w:val="cms-font-size"/>
    <w:basedOn w:val="DefaultParagraphFont"/>
    <w:rsid w:val="00366F4E"/>
  </w:style>
  <w:style w:type="paragraph" w:styleId="NormalWeb">
    <w:name w:val="Normal (Web)"/>
    <w:basedOn w:val="Normal"/>
    <w:uiPriority w:val="99"/>
    <w:semiHidden/>
    <w:unhideWhenUsed/>
    <w:rsid w:val="00366F4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66F4E"/>
    <w:rPr>
      <w:b/>
      <w:bCs/>
    </w:rPr>
  </w:style>
  <w:style w:type="paragraph" w:styleId="BalloonText">
    <w:name w:val="Balloon Text"/>
    <w:basedOn w:val="Normal"/>
    <w:link w:val="BalloonTextChar"/>
    <w:uiPriority w:val="99"/>
    <w:semiHidden/>
    <w:unhideWhenUsed/>
    <w:rsid w:val="00366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F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18017">
      <w:bodyDiv w:val="1"/>
      <w:marLeft w:val="0"/>
      <w:marRight w:val="0"/>
      <w:marTop w:val="0"/>
      <w:marBottom w:val="0"/>
      <w:divBdr>
        <w:top w:val="none" w:sz="0" w:space="0" w:color="auto"/>
        <w:left w:val="none" w:sz="0" w:space="0" w:color="auto"/>
        <w:bottom w:val="none" w:sz="0" w:space="0" w:color="auto"/>
        <w:right w:val="none" w:sz="0" w:space="0" w:color="auto"/>
      </w:divBdr>
      <w:divsChild>
        <w:div w:id="2097247726">
          <w:marLeft w:val="0"/>
          <w:marRight w:val="0"/>
          <w:marTop w:val="0"/>
          <w:marBottom w:val="0"/>
          <w:divBdr>
            <w:top w:val="none" w:sz="0" w:space="0" w:color="auto"/>
            <w:left w:val="none" w:sz="0" w:space="0" w:color="auto"/>
            <w:bottom w:val="none" w:sz="0" w:space="0" w:color="auto"/>
            <w:right w:val="none" w:sz="0" w:space="0" w:color="auto"/>
          </w:divBdr>
          <w:divsChild>
            <w:div w:id="250243248">
              <w:marLeft w:val="0"/>
              <w:marRight w:val="0"/>
              <w:marTop w:val="0"/>
              <w:marBottom w:val="150"/>
              <w:divBdr>
                <w:top w:val="none" w:sz="0" w:space="0" w:color="auto"/>
                <w:left w:val="none" w:sz="0" w:space="0" w:color="auto"/>
                <w:bottom w:val="none" w:sz="0" w:space="0" w:color="auto"/>
                <w:right w:val="none" w:sz="0" w:space="0" w:color="auto"/>
              </w:divBdr>
            </w:div>
            <w:div w:id="1088769136">
              <w:marLeft w:val="0"/>
              <w:marRight w:val="0"/>
              <w:marTop w:val="0"/>
              <w:marBottom w:val="0"/>
              <w:divBdr>
                <w:top w:val="none" w:sz="0" w:space="0" w:color="auto"/>
                <w:left w:val="none" w:sz="0" w:space="0" w:color="auto"/>
                <w:bottom w:val="none" w:sz="0" w:space="0" w:color="auto"/>
                <w:right w:val="none" w:sz="0" w:space="0" w:color="auto"/>
              </w:divBdr>
            </w:div>
            <w:div w:id="267736949">
              <w:marLeft w:val="0"/>
              <w:marRight w:val="0"/>
              <w:marTop w:val="0"/>
              <w:marBottom w:val="0"/>
              <w:divBdr>
                <w:top w:val="none" w:sz="0" w:space="0" w:color="auto"/>
                <w:left w:val="none" w:sz="0" w:space="0" w:color="auto"/>
                <w:bottom w:val="none" w:sz="0" w:space="0" w:color="auto"/>
                <w:right w:val="none" w:sz="0" w:space="0" w:color="auto"/>
              </w:divBdr>
            </w:div>
          </w:divsChild>
        </w:div>
        <w:div w:id="1978992520">
          <w:marLeft w:val="0"/>
          <w:marRight w:val="0"/>
          <w:marTop w:val="0"/>
          <w:marBottom w:val="0"/>
          <w:divBdr>
            <w:top w:val="none" w:sz="0" w:space="0" w:color="auto"/>
            <w:left w:val="none" w:sz="0" w:space="0" w:color="auto"/>
            <w:bottom w:val="none" w:sz="0" w:space="0" w:color="auto"/>
            <w:right w:val="none" w:sz="0" w:space="0" w:color="auto"/>
          </w:divBdr>
          <w:divsChild>
            <w:div w:id="12476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AE5AE07A-E9A6-47A4-89CD-AB242B21B91F}"/>
</file>

<file path=customXml/itemProps2.xml><?xml version="1.0" encoding="utf-8"?>
<ds:datastoreItem xmlns:ds="http://schemas.openxmlformats.org/officeDocument/2006/customXml" ds:itemID="{1CB45539-965E-414A-91EF-1A21C1601BD8}"/>
</file>

<file path=customXml/itemProps3.xml><?xml version="1.0" encoding="utf-8"?>
<ds:datastoreItem xmlns:ds="http://schemas.openxmlformats.org/officeDocument/2006/customXml" ds:itemID="{A970DE46-3B3A-4EE1-BB47-B7F8F9003CB5}"/>
</file>

<file path=docProps/app.xml><?xml version="1.0" encoding="utf-8"?>
<Properties xmlns="http://schemas.openxmlformats.org/officeDocument/2006/extended-properties" xmlns:vt="http://schemas.openxmlformats.org/officeDocument/2006/docPropsVTypes">
  <Template>Normal</Template>
  <TotalTime>1</TotalTime>
  <Pages>3</Pages>
  <Words>1534</Words>
  <Characters>8745</Characters>
  <Application>Microsoft Office Word</Application>
  <DocSecurity>0</DocSecurity>
  <Lines>72</Lines>
  <Paragraphs>20</Paragraphs>
  <ScaleCrop>false</ScaleCrop>
  <Company>Truong</Company>
  <LinksUpToDate>false</LinksUpToDate>
  <CharactersWithSpaces>10259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keywords/>
  <dc:description/>
  <cp:lastModifiedBy>Nguyen</cp:lastModifiedBy>
  <cp:revision>1</cp:revision>
  <dcterms:created xsi:type="dcterms:W3CDTF">2017-11-16T14:38:00Z</dcterms:created>
  <dcterms:modified xsi:type="dcterms:W3CDTF">2017-11-16T14:39:00Z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